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1"/>
      </w:tblGrid>
      <w:tr w:rsidR="00FD36B2" w:rsidRPr="00877D1F" w:rsidTr="005F3D1F">
        <w:trPr>
          <w:trHeight w:hRule="exact" w:val="2240"/>
        </w:trPr>
        <w:tc>
          <w:tcPr>
            <w:tcW w:w="7651" w:type="dxa"/>
          </w:tcPr>
          <w:p w:rsidR="00877D1F" w:rsidRPr="00AF640B" w:rsidRDefault="00877D1F" w:rsidP="00877D1F">
            <w:bookmarkStart w:id="0" w:name="do_Adres"/>
            <w:r w:rsidRPr="00AF640B">
              <w:t>Tweede Kamer der Staten-Generaal</w:t>
            </w:r>
          </w:p>
          <w:p w:rsidR="00877D1F" w:rsidRDefault="00877D1F" w:rsidP="00877D1F">
            <w:r w:rsidRPr="00AF640B">
              <w:t xml:space="preserve">T.a.v. de vaste commissie </w:t>
            </w:r>
            <w:r>
              <w:t xml:space="preserve">voor </w:t>
            </w:r>
            <w:r w:rsidRPr="00AF640B">
              <w:t xml:space="preserve">Justitie </w:t>
            </w:r>
            <w:r>
              <w:t>en</w:t>
            </w:r>
            <w:r w:rsidRPr="00AF640B">
              <w:t xml:space="preserve"> Veiligheid</w:t>
            </w:r>
          </w:p>
          <w:p w:rsidR="00877D1F" w:rsidRDefault="00877D1F" w:rsidP="00877D1F">
            <w:r>
              <w:t>Postbus 20018</w:t>
            </w:r>
          </w:p>
          <w:p w:rsidR="00DA7B65" w:rsidRPr="00877D1F" w:rsidRDefault="00877D1F" w:rsidP="00877D1F">
            <w:r>
              <w:t>2500 EA Den Haag</w:t>
            </w:r>
          </w:p>
        </w:tc>
      </w:tr>
      <w:bookmarkEnd w:id="0"/>
      <w:tr w:rsidR="00DA26F5" w:rsidRPr="00877D1F" w:rsidTr="00FD36B2">
        <w:tc>
          <w:tcPr>
            <w:tcW w:w="7651" w:type="dxa"/>
          </w:tcPr>
          <w:p w:rsidR="00DA26F5" w:rsidRPr="00877D1F" w:rsidRDefault="00DA26F5" w:rsidP="009059A7"/>
        </w:tc>
      </w:tr>
      <w:tr w:rsidR="00FD36B2" w:rsidRPr="00877D1F" w:rsidTr="00FD36B2">
        <w:tc>
          <w:tcPr>
            <w:tcW w:w="7651" w:type="dxa"/>
          </w:tcPr>
          <w:p w:rsidR="00FD36B2" w:rsidRPr="00877D1F" w:rsidRDefault="00877D1F" w:rsidP="009059A7">
            <w:bookmarkStart w:id="1" w:name="do_Datum"/>
            <w:r w:rsidRPr="00877D1F">
              <w:t xml:space="preserve">Amsterdam, </w:t>
            </w:r>
            <w:r>
              <w:t>8</w:t>
            </w:r>
            <w:r w:rsidRPr="00877D1F">
              <w:t xml:space="preserve"> maart 2018</w:t>
            </w:r>
          </w:p>
        </w:tc>
      </w:tr>
      <w:tr w:rsidR="00FD36B2" w:rsidRPr="00877D1F" w:rsidTr="00FD36B2">
        <w:tc>
          <w:tcPr>
            <w:tcW w:w="7651" w:type="dxa"/>
          </w:tcPr>
          <w:p w:rsidR="00FD36B2" w:rsidRPr="00877D1F" w:rsidRDefault="00877D1F" w:rsidP="009059A7">
            <w:bookmarkStart w:id="2" w:name="do_Onderwerp"/>
            <w:bookmarkEnd w:id="1"/>
            <w:r w:rsidRPr="00AF640B">
              <w:t xml:space="preserve">Onderwerp: </w:t>
            </w:r>
            <w:r>
              <w:t>j</w:t>
            </w:r>
            <w:r w:rsidRPr="00AF640B">
              <w:t>ournalistieke exceptie Uitvoeringswet AVG</w:t>
            </w:r>
          </w:p>
        </w:tc>
      </w:tr>
      <w:bookmarkEnd w:id="2"/>
      <w:tr w:rsidR="002E2610" w:rsidRPr="00877D1F" w:rsidTr="00FD36B2">
        <w:tc>
          <w:tcPr>
            <w:tcW w:w="7651" w:type="dxa"/>
          </w:tcPr>
          <w:p w:rsidR="002E2610" w:rsidRPr="00877D1F" w:rsidRDefault="002E2610" w:rsidP="009059A7"/>
        </w:tc>
      </w:tr>
      <w:tr w:rsidR="00FD36B2" w:rsidRPr="00877D1F" w:rsidTr="008411AD">
        <w:tc>
          <w:tcPr>
            <w:tcW w:w="7651" w:type="dxa"/>
          </w:tcPr>
          <w:p w:rsidR="00FD36B2" w:rsidRPr="00877D1F" w:rsidRDefault="00FD36B2" w:rsidP="009059A7"/>
        </w:tc>
      </w:tr>
      <w:tr w:rsidR="00FD36B2" w:rsidRPr="00877D1F" w:rsidTr="00FD36B2">
        <w:tc>
          <w:tcPr>
            <w:tcW w:w="7651" w:type="dxa"/>
          </w:tcPr>
          <w:p w:rsidR="00FD36B2" w:rsidRPr="00877D1F" w:rsidRDefault="00877D1F" w:rsidP="009059A7">
            <w:bookmarkStart w:id="3" w:name="do_Aanhef" w:colFirst="0" w:colLast="0"/>
            <w:r>
              <w:t>Geachte leden van de vaste commissie voor Justitie en Veiligheid,</w:t>
            </w:r>
          </w:p>
        </w:tc>
      </w:tr>
      <w:bookmarkEnd w:id="3"/>
    </w:tbl>
    <w:p w:rsidR="00DA26F5" w:rsidRPr="00877D1F" w:rsidRDefault="00DA26F5" w:rsidP="009059A7"/>
    <w:p w:rsidR="00877D1F" w:rsidRPr="00877D1F" w:rsidRDefault="00877D1F" w:rsidP="00877D1F">
      <w:pPr>
        <w:pStyle w:val="Geenafstand"/>
        <w:spacing w:line="280" w:lineRule="exact"/>
        <w:rPr>
          <w:sz w:val="19"/>
          <w:szCs w:val="19"/>
        </w:rPr>
      </w:pPr>
      <w:bookmarkStart w:id="4" w:name="do_Start"/>
      <w:bookmarkEnd w:id="4"/>
      <w:r w:rsidRPr="00877D1F">
        <w:rPr>
          <w:sz w:val="19"/>
          <w:szCs w:val="19"/>
        </w:rPr>
        <w:t>Met grote belangstelling volgen NDP Nieuwsmedia (de brancheorganisatie voor nieuwsbedrijven) en de Nederlandse Vereniging van Journalisten (NVJ) de parlementaire behandeling van de Uitvoeringswet AVG. Met het oog op de plenaire behandeling van het wetsvoorstel spreken beide organisaties als belangenbehartigers van de journalistiek hun steun uit voor het amendement-Buitenweg (34 851-x). Dat amendement verbetert de journalistieke exceptie die het kabinet voorstelt, zodat de exceptie wél toereikend is voor de journalistieke praktijk van vandaag en morgen.</w:t>
      </w:r>
    </w:p>
    <w:p w:rsidR="00877D1F" w:rsidRPr="00877D1F" w:rsidRDefault="00877D1F" w:rsidP="00877D1F">
      <w:pPr>
        <w:pStyle w:val="Geenafstand"/>
        <w:spacing w:line="280" w:lineRule="exact"/>
        <w:rPr>
          <w:sz w:val="19"/>
          <w:szCs w:val="19"/>
        </w:rPr>
      </w:pPr>
    </w:p>
    <w:p w:rsidR="00877D1F" w:rsidRPr="00877D1F" w:rsidRDefault="00877D1F" w:rsidP="00877D1F">
      <w:pPr>
        <w:pStyle w:val="Geenafstand"/>
        <w:spacing w:line="280" w:lineRule="exact"/>
        <w:rPr>
          <w:b/>
          <w:sz w:val="19"/>
          <w:szCs w:val="19"/>
        </w:rPr>
      </w:pPr>
      <w:r w:rsidRPr="00877D1F">
        <w:rPr>
          <w:b/>
          <w:sz w:val="19"/>
          <w:szCs w:val="19"/>
        </w:rPr>
        <w:t>‘Beleidsneutraliteit’ betwist</w:t>
      </w:r>
    </w:p>
    <w:p w:rsidR="00877D1F" w:rsidRPr="00877D1F" w:rsidRDefault="00877D1F" w:rsidP="00877D1F">
      <w:pPr>
        <w:pStyle w:val="Geenafstand"/>
        <w:spacing w:line="280" w:lineRule="exact"/>
        <w:rPr>
          <w:sz w:val="19"/>
          <w:szCs w:val="19"/>
        </w:rPr>
      </w:pPr>
      <w:r w:rsidRPr="00877D1F">
        <w:rPr>
          <w:sz w:val="19"/>
          <w:szCs w:val="19"/>
        </w:rPr>
        <w:t xml:space="preserve">Lidstaten dienen op grond van artikel 85 AVG in nationale wetgeving een journalistieke exceptie vast te leggen. De minister heeft te kennen gegeven dat implementatie van dit artikel op het niveau van de huidige journalistieke exceptie, verankerd in artikel 9 Privacyrichtlijn en geïmplementeerd in art. 3 van de </w:t>
      </w:r>
      <w:proofErr w:type="spellStart"/>
      <w:r w:rsidRPr="00877D1F">
        <w:rPr>
          <w:sz w:val="19"/>
          <w:szCs w:val="19"/>
        </w:rPr>
        <w:t>Wbp</w:t>
      </w:r>
      <w:proofErr w:type="spellEnd"/>
      <w:r w:rsidRPr="00877D1F">
        <w:rPr>
          <w:sz w:val="19"/>
          <w:szCs w:val="19"/>
        </w:rPr>
        <w:t xml:space="preserve">, gewenst is. Omdat het recht op gegevensbescherming onder de AVG echter zwaarder zal gaan wegen, is het bepaald niet vanzelfsprekend om de 22 jaar (!) oude implementatie van de Privacyrichtlijn in de </w:t>
      </w:r>
      <w:proofErr w:type="spellStart"/>
      <w:r w:rsidRPr="00877D1F">
        <w:rPr>
          <w:sz w:val="19"/>
          <w:szCs w:val="19"/>
        </w:rPr>
        <w:t>Wbp</w:t>
      </w:r>
      <w:proofErr w:type="spellEnd"/>
      <w:r w:rsidRPr="00877D1F">
        <w:rPr>
          <w:sz w:val="19"/>
          <w:szCs w:val="19"/>
        </w:rPr>
        <w:t xml:space="preserve"> als uitgangspunt te nemen. ‘</w:t>
      </w:r>
      <w:proofErr w:type="spellStart"/>
      <w:r w:rsidRPr="00877D1F">
        <w:rPr>
          <w:sz w:val="19"/>
          <w:szCs w:val="19"/>
        </w:rPr>
        <w:t>Beleidsneutrale</w:t>
      </w:r>
      <w:proofErr w:type="spellEnd"/>
      <w:r w:rsidRPr="00877D1F">
        <w:rPr>
          <w:sz w:val="19"/>
          <w:szCs w:val="19"/>
        </w:rPr>
        <w:t xml:space="preserve"> implementatie’ zoals de minister die voorstelt, betekent onder het zwaardere regime van de AVG de facto een zwakkere bescherming voor de journalistiek.</w:t>
      </w:r>
    </w:p>
    <w:p w:rsidR="00877D1F" w:rsidRPr="00877D1F" w:rsidRDefault="00877D1F" w:rsidP="00877D1F">
      <w:pPr>
        <w:pStyle w:val="Geenafstand"/>
        <w:spacing w:line="280" w:lineRule="exact"/>
        <w:rPr>
          <w:sz w:val="19"/>
          <w:szCs w:val="19"/>
        </w:rPr>
      </w:pPr>
    </w:p>
    <w:p w:rsidR="00877D1F" w:rsidRPr="00877D1F" w:rsidRDefault="00877D1F" w:rsidP="00877D1F">
      <w:pPr>
        <w:pStyle w:val="Geenafstand"/>
        <w:spacing w:line="280" w:lineRule="exact"/>
        <w:rPr>
          <w:sz w:val="19"/>
          <w:szCs w:val="19"/>
        </w:rPr>
      </w:pPr>
      <w:r w:rsidRPr="00877D1F">
        <w:rPr>
          <w:sz w:val="19"/>
          <w:szCs w:val="19"/>
        </w:rPr>
        <w:t>Tijdens de schriftelijke behandeling van het wetsvoorstel heeft de minister verzuimd te onderbouwen waarom sommige bepalingen van de AVG niet worden uitgezonderd voor journalistieke doeleinden. Dat is een miskenning van het feit dat de balans tussen het recht op privacy en het recht op vrijheid van meningsuiting verandert door de AVG.</w:t>
      </w:r>
    </w:p>
    <w:p w:rsidR="00877D1F" w:rsidRPr="00877D1F" w:rsidRDefault="00877D1F" w:rsidP="00877D1F">
      <w:pPr>
        <w:pStyle w:val="Geenafstand"/>
        <w:spacing w:line="280" w:lineRule="exact"/>
        <w:rPr>
          <w:sz w:val="19"/>
          <w:szCs w:val="19"/>
        </w:rPr>
      </w:pPr>
    </w:p>
    <w:p w:rsidR="00877D1F" w:rsidRPr="00877D1F" w:rsidRDefault="00877D1F" w:rsidP="00877D1F">
      <w:pPr>
        <w:pStyle w:val="Geenafstand"/>
        <w:spacing w:line="280" w:lineRule="exact"/>
        <w:rPr>
          <w:b/>
          <w:sz w:val="19"/>
          <w:szCs w:val="19"/>
        </w:rPr>
      </w:pPr>
      <w:r w:rsidRPr="00877D1F">
        <w:rPr>
          <w:b/>
          <w:sz w:val="19"/>
          <w:szCs w:val="19"/>
        </w:rPr>
        <w:t xml:space="preserve">Risico’s voor de journalistiek </w:t>
      </w:r>
    </w:p>
    <w:p w:rsidR="00877D1F" w:rsidRPr="00877D1F" w:rsidRDefault="00877D1F" w:rsidP="00877D1F">
      <w:pPr>
        <w:pStyle w:val="Geenafstand"/>
        <w:spacing w:line="280" w:lineRule="exact"/>
        <w:rPr>
          <w:sz w:val="19"/>
          <w:szCs w:val="19"/>
        </w:rPr>
      </w:pPr>
      <w:r w:rsidRPr="00877D1F">
        <w:rPr>
          <w:sz w:val="19"/>
          <w:szCs w:val="19"/>
        </w:rPr>
        <w:t xml:space="preserve">NDP Nieuwsmedia en de NVJ vrezen dat toepasselijkheid van de AVG zal wringen met de journalistieke praktijk. Uit de </w:t>
      </w:r>
      <w:hyperlink r:id="rId7" w:history="1">
        <w:r w:rsidRPr="00877D1F">
          <w:rPr>
            <w:rStyle w:val="Hyperlink"/>
            <w:sz w:val="19"/>
            <w:szCs w:val="19"/>
          </w:rPr>
          <w:t>analyse van mr. Otto Volgenant</w:t>
        </w:r>
      </w:hyperlink>
      <w:r w:rsidRPr="00877D1F">
        <w:rPr>
          <w:sz w:val="19"/>
          <w:szCs w:val="19"/>
        </w:rPr>
        <w:t xml:space="preserve">, toonaangevend jurist op het terrein van persvrijheid, blijkt dat onder meer risico’s ontstaan in de vertrouwelijkheid van de onderzoeksfase, bij bronbescherming, historisch onderzoek, datalekken, </w:t>
      </w:r>
      <w:r w:rsidRPr="00877D1F">
        <w:rPr>
          <w:i/>
          <w:iCs/>
          <w:sz w:val="19"/>
          <w:szCs w:val="19"/>
        </w:rPr>
        <w:t xml:space="preserve">user </w:t>
      </w:r>
      <w:proofErr w:type="spellStart"/>
      <w:r w:rsidRPr="00877D1F">
        <w:rPr>
          <w:i/>
          <w:iCs/>
          <w:sz w:val="19"/>
          <w:szCs w:val="19"/>
        </w:rPr>
        <w:t>generated</w:t>
      </w:r>
      <w:proofErr w:type="spellEnd"/>
      <w:r w:rsidRPr="00877D1F">
        <w:rPr>
          <w:i/>
          <w:iCs/>
          <w:sz w:val="19"/>
          <w:szCs w:val="19"/>
        </w:rPr>
        <w:t xml:space="preserve"> content </w:t>
      </w:r>
      <w:r w:rsidRPr="00877D1F">
        <w:rPr>
          <w:sz w:val="19"/>
          <w:szCs w:val="19"/>
        </w:rPr>
        <w:t xml:space="preserve">en online archieven. Als de journalistieke exceptie niet toereikend is, dreigt op allerlei aspecten een </w:t>
      </w:r>
      <w:proofErr w:type="spellStart"/>
      <w:r w:rsidRPr="00877D1F">
        <w:rPr>
          <w:i/>
          <w:iCs/>
          <w:sz w:val="19"/>
          <w:szCs w:val="19"/>
        </w:rPr>
        <w:t>chilling</w:t>
      </w:r>
      <w:proofErr w:type="spellEnd"/>
      <w:r w:rsidRPr="00877D1F">
        <w:rPr>
          <w:i/>
          <w:iCs/>
          <w:sz w:val="19"/>
          <w:szCs w:val="19"/>
        </w:rPr>
        <w:t xml:space="preserve"> effect</w:t>
      </w:r>
      <w:r w:rsidRPr="00877D1F">
        <w:rPr>
          <w:sz w:val="19"/>
          <w:szCs w:val="19"/>
        </w:rPr>
        <w:t xml:space="preserve">. Uit angst dat hun identiteit wordt onthuld, zullen bronnen en klokkenluiders </w:t>
      </w:r>
      <w:r w:rsidRPr="00877D1F">
        <w:rPr>
          <w:sz w:val="19"/>
          <w:szCs w:val="19"/>
        </w:rPr>
        <w:lastRenderedPageBreak/>
        <w:t>minder geneigd zijn om misstanden via de media naar buiten te brengen. Als de bepalingen van de AVG onder het nieuwe regime onverkort gelden, zullen de juridische en financiële r</w:t>
      </w:r>
      <w:r w:rsidR="0016771B">
        <w:rPr>
          <w:sz w:val="19"/>
          <w:szCs w:val="19"/>
        </w:rPr>
        <w:t xml:space="preserve">isico’s voor nieuwsmedia </w:t>
      </w:r>
      <w:bookmarkStart w:id="5" w:name="_GoBack"/>
      <w:bookmarkEnd w:id="5"/>
      <w:r w:rsidRPr="00877D1F">
        <w:rPr>
          <w:sz w:val="19"/>
          <w:szCs w:val="19"/>
        </w:rPr>
        <w:t>groter zijn dan voorheen. Hierdoor zullen zij voorzichtiger worden en mogelijk onderwerpen schuwen die door de verwerking van persoonsgegevens risicovol blijken. De AVG creëert een nieuwe weg om bij toezichthoudende autoriteiten over nieuwsmedia te klagen, zowel in Nederland als in het buitenland. Deze toezichthouders krijgen door de AVG bovendien een veel zwaarder sanctieregime tot hun beschikking.</w:t>
      </w:r>
    </w:p>
    <w:p w:rsidR="00877D1F" w:rsidRPr="00877D1F" w:rsidRDefault="00877D1F" w:rsidP="00877D1F">
      <w:pPr>
        <w:pStyle w:val="Geenafstand"/>
        <w:spacing w:line="280" w:lineRule="exact"/>
        <w:rPr>
          <w:sz w:val="19"/>
          <w:szCs w:val="19"/>
        </w:rPr>
      </w:pPr>
    </w:p>
    <w:p w:rsidR="00877D1F" w:rsidRPr="00877D1F" w:rsidRDefault="00877D1F" w:rsidP="00877D1F">
      <w:pPr>
        <w:pStyle w:val="Geenafstand"/>
        <w:spacing w:line="280" w:lineRule="exact"/>
        <w:rPr>
          <w:b/>
          <w:sz w:val="19"/>
          <w:szCs w:val="19"/>
        </w:rPr>
      </w:pPr>
      <w:r w:rsidRPr="00877D1F">
        <w:rPr>
          <w:b/>
          <w:sz w:val="19"/>
          <w:szCs w:val="19"/>
        </w:rPr>
        <w:t>Verzoek om amendement te steunen</w:t>
      </w:r>
    </w:p>
    <w:p w:rsidR="00877D1F" w:rsidRPr="00877D1F" w:rsidRDefault="00877D1F" w:rsidP="00877D1F">
      <w:pPr>
        <w:pStyle w:val="Geenafstand"/>
        <w:spacing w:line="280" w:lineRule="exact"/>
        <w:rPr>
          <w:sz w:val="19"/>
          <w:szCs w:val="19"/>
        </w:rPr>
      </w:pPr>
      <w:r w:rsidRPr="00877D1F">
        <w:rPr>
          <w:sz w:val="19"/>
          <w:szCs w:val="19"/>
        </w:rPr>
        <w:t>Het amendement-Buitenweg neemt deze onwenselijke risico’s weg. Met een toereikende journalistieke exceptie kan de wetgever het grote belang van de journalistiek voor de werking van de democratie onderschrijven. Als belangenbehartigers van de journalistiek roepen NDP Nieuwsmedia en de NVJ u daarom van harte op het amendement-Buitenweg te steunen.</w:t>
      </w:r>
    </w:p>
    <w:p w:rsidR="00877D1F" w:rsidRPr="00877D1F" w:rsidRDefault="00877D1F" w:rsidP="00877D1F">
      <w:pPr>
        <w:pStyle w:val="Geenafstand"/>
        <w:spacing w:line="280" w:lineRule="exact"/>
        <w:rPr>
          <w:sz w:val="19"/>
          <w:szCs w:val="19"/>
        </w:rPr>
      </w:pPr>
    </w:p>
    <w:p w:rsidR="00877D1F" w:rsidRPr="00877D1F" w:rsidRDefault="00877D1F" w:rsidP="00877D1F">
      <w:pPr>
        <w:pStyle w:val="Geenafstand"/>
        <w:spacing w:line="280" w:lineRule="exact"/>
        <w:rPr>
          <w:sz w:val="19"/>
          <w:szCs w:val="19"/>
        </w:rPr>
      </w:pPr>
      <w:r w:rsidRPr="00877D1F">
        <w:rPr>
          <w:sz w:val="19"/>
          <w:szCs w:val="19"/>
        </w:rPr>
        <w:t xml:space="preserve">Aan dit pleidooi van NDP Nieuwsmedia en de NVJ ligt een uitvoerige </w:t>
      </w:r>
      <w:hyperlink r:id="rId8" w:history="1">
        <w:r w:rsidRPr="00877D1F">
          <w:rPr>
            <w:rStyle w:val="Hyperlink"/>
            <w:sz w:val="19"/>
            <w:szCs w:val="19"/>
          </w:rPr>
          <w:t>juridische analyse</w:t>
        </w:r>
      </w:hyperlink>
      <w:r w:rsidRPr="00877D1F">
        <w:rPr>
          <w:sz w:val="19"/>
          <w:szCs w:val="19"/>
        </w:rPr>
        <w:t xml:space="preserve"> van mr. Otto Volgenant ten grondslag. Deze is u op 20 december jl. als bijlage bij onze vorige </w:t>
      </w:r>
      <w:hyperlink r:id="rId9" w:history="1">
        <w:r w:rsidRPr="00877D1F">
          <w:rPr>
            <w:rStyle w:val="Hyperlink"/>
            <w:sz w:val="19"/>
            <w:szCs w:val="19"/>
          </w:rPr>
          <w:t>brief</w:t>
        </w:r>
      </w:hyperlink>
      <w:r w:rsidRPr="00877D1F">
        <w:rPr>
          <w:sz w:val="19"/>
          <w:szCs w:val="19"/>
        </w:rPr>
        <w:t xml:space="preserve"> toegezonden. Mochten er desondanks vragen resteren, dan houden wij ons daarvoor uiteraard graag beschikbaar.</w:t>
      </w:r>
    </w:p>
    <w:p w:rsidR="00877D1F" w:rsidRPr="00877D1F" w:rsidRDefault="00877D1F" w:rsidP="00877D1F">
      <w:pPr>
        <w:spacing w:line="280" w:lineRule="exact"/>
      </w:pPr>
    </w:p>
    <w:tbl>
      <w:tblPr>
        <w:tblStyle w:val="Tabelraster"/>
        <w:tblW w:w="7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5"/>
        <w:gridCol w:w="3826"/>
      </w:tblGrid>
      <w:tr w:rsidR="0016771B" w:rsidRPr="00B6037B" w:rsidTr="00547789">
        <w:tc>
          <w:tcPr>
            <w:tcW w:w="7651" w:type="dxa"/>
            <w:gridSpan w:val="2"/>
          </w:tcPr>
          <w:p w:rsidR="0016771B" w:rsidRPr="00B6037B" w:rsidRDefault="0016771B" w:rsidP="00547789">
            <w:r>
              <w:rPr>
                <w:noProof/>
                <w:lang w:eastAsia="nl-NL"/>
              </w:rPr>
              <w:drawing>
                <wp:anchor distT="0" distB="0" distL="114300" distR="114300" simplePos="0" relativeHeight="251660288" behindDoc="1" locked="0" layoutInCell="1" allowOverlap="1" wp14:anchorId="6FBEF622" wp14:editId="0BF56BB1">
                  <wp:simplePos x="0" y="0"/>
                  <wp:positionH relativeFrom="column">
                    <wp:posOffset>44450</wp:posOffset>
                  </wp:positionH>
                  <wp:positionV relativeFrom="paragraph">
                    <wp:posOffset>95250</wp:posOffset>
                  </wp:positionV>
                  <wp:extent cx="685800" cy="695325"/>
                  <wp:effectExtent l="19050" t="0" r="0" b="0"/>
                  <wp:wrapNone/>
                  <wp:docPr id="6" name="Afbeelding 0" descr="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jpg"/>
                          <pic:cNvPicPr/>
                        </pic:nvPicPr>
                        <pic:blipFill>
                          <a:blip r:embed="rId10" cstate="print"/>
                          <a:stretch>
                            <a:fillRect/>
                          </a:stretch>
                        </pic:blipFill>
                        <pic:spPr>
                          <a:xfrm>
                            <a:off x="0" y="0"/>
                            <a:ext cx="685800" cy="695325"/>
                          </a:xfrm>
                          <a:prstGeom prst="rect">
                            <a:avLst/>
                          </a:prstGeom>
                        </pic:spPr>
                      </pic:pic>
                    </a:graphicData>
                  </a:graphic>
                </wp:anchor>
              </w:drawing>
            </w:r>
            <w:r>
              <w:rPr>
                <w:noProof/>
                <w:lang w:eastAsia="nl-NL"/>
              </w:rPr>
              <w:drawing>
                <wp:anchor distT="0" distB="0" distL="114300" distR="114300" simplePos="0" relativeHeight="251659264" behindDoc="1" locked="0" layoutInCell="1" allowOverlap="1" wp14:anchorId="61312A28" wp14:editId="362B3DF6">
                  <wp:simplePos x="0" y="0"/>
                  <wp:positionH relativeFrom="column">
                    <wp:posOffset>2292350</wp:posOffset>
                  </wp:positionH>
                  <wp:positionV relativeFrom="paragraph">
                    <wp:posOffset>159556</wp:posOffset>
                  </wp:positionV>
                  <wp:extent cx="1171575" cy="627844"/>
                  <wp:effectExtent l="1905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35325" t="35816" r="31506" b="32624"/>
                          <a:stretch>
                            <a:fillRect/>
                          </a:stretch>
                        </pic:blipFill>
                        <pic:spPr bwMode="auto">
                          <a:xfrm>
                            <a:off x="0" y="0"/>
                            <a:ext cx="1171575" cy="627844"/>
                          </a:xfrm>
                          <a:prstGeom prst="rect">
                            <a:avLst/>
                          </a:prstGeom>
                          <a:noFill/>
                          <a:ln w="9525">
                            <a:noFill/>
                            <a:miter lim="800000"/>
                            <a:headEnd/>
                            <a:tailEnd/>
                          </a:ln>
                        </pic:spPr>
                      </pic:pic>
                    </a:graphicData>
                  </a:graphic>
                </wp:anchor>
              </w:drawing>
            </w:r>
            <w:r w:rsidRPr="00B6037B">
              <w:t>Met vriendelijke groet,</w:t>
            </w:r>
          </w:p>
        </w:tc>
      </w:tr>
      <w:tr w:rsidR="0016771B" w:rsidRPr="00B6037B" w:rsidTr="00547789">
        <w:trPr>
          <w:trHeight w:hRule="exact" w:val="840"/>
        </w:trPr>
        <w:tc>
          <w:tcPr>
            <w:tcW w:w="3825" w:type="dxa"/>
          </w:tcPr>
          <w:p w:rsidR="0016771B" w:rsidRPr="00B6037B" w:rsidRDefault="0016771B" w:rsidP="00547789"/>
        </w:tc>
        <w:tc>
          <w:tcPr>
            <w:tcW w:w="3826" w:type="dxa"/>
          </w:tcPr>
          <w:p w:rsidR="0016771B" w:rsidRPr="00B6037B" w:rsidRDefault="0016771B" w:rsidP="00547789"/>
        </w:tc>
      </w:tr>
      <w:tr w:rsidR="0016771B" w:rsidRPr="002F0155" w:rsidTr="00547789">
        <w:tc>
          <w:tcPr>
            <w:tcW w:w="3825" w:type="dxa"/>
          </w:tcPr>
          <w:p w:rsidR="0016771B" w:rsidRDefault="0016771B" w:rsidP="00547789">
            <w:r>
              <w:t>Tom Nauta</w:t>
            </w:r>
          </w:p>
          <w:p w:rsidR="0016771B" w:rsidRPr="00B6037B" w:rsidRDefault="0016771B" w:rsidP="00547789">
            <w:r>
              <w:rPr>
                <w:i/>
              </w:rPr>
              <w:t>d</w:t>
            </w:r>
            <w:r w:rsidRPr="00B4721E">
              <w:rPr>
                <w:i/>
              </w:rPr>
              <w:t>irecteur</w:t>
            </w:r>
            <w:r>
              <w:rPr>
                <w:i/>
              </w:rPr>
              <w:t xml:space="preserve"> NDP Nieuwsmedia</w:t>
            </w:r>
          </w:p>
        </w:tc>
        <w:tc>
          <w:tcPr>
            <w:tcW w:w="3826" w:type="dxa"/>
          </w:tcPr>
          <w:p w:rsidR="0016771B" w:rsidRDefault="0016771B" w:rsidP="00547789">
            <w:r>
              <w:t>Thomas Bruning</w:t>
            </w:r>
          </w:p>
          <w:p w:rsidR="0016771B" w:rsidRPr="002F0155" w:rsidRDefault="0016771B" w:rsidP="00547789">
            <w:pPr>
              <w:rPr>
                <w:i/>
              </w:rPr>
            </w:pPr>
            <w:r>
              <w:rPr>
                <w:i/>
              </w:rPr>
              <w:t>algemeen secretaris NVJ</w:t>
            </w:r>
          </w:p>
        </w:tc>
      </w:tr>
    </w:tbl>
    <w:p w:rsidR="008411AD" w:rsidRPr="00877D1F" w:rsidRDefault="008411AD" w:rsidP="00877D1F">
      <w:pPr>
        <w:spacing w:line="280" w:lineRule="exact"/>
      </w:pPr>
    </w:p>
    <w:p w:rsidR="008411AD" w:rsidRPr="00877D1F" w:rsidRDefault="008411AD" w:rsidP="00877D1F">
      <w:pPr>
        <w:spacing w:line="280" w:lineRule="exact"/>
      </w:pPr>
    </w:p>
    <w:tbl>
      <w:tblPr>
        <w:tblStyle w:val="Tabelraster"/>
        <w:tblW w:w="7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1"/>
      </w:tblGrid>
      <w:tr w:rsidR="008411AD" w:rsidRPr="00877D1F" w:rsidTr="00E86BEB">
        <w:tc>
          <w:tcPr>
            <w:tcW w:w="7651" w:type="dxa"/>
          </w:tcPr>
          <w:p w:rsidR="008411AD" w:rsidRPr="00877D1F" w:rsidRDefault="008411AD" w:rsidP="009059A7">
            <w:bookmarkStart w:id="6" w:name="do_Groetregel" w:colFirst="0" w:colLast="0"/>
          </w:p>
        </w:tc>
      </w:tr>
      <w:bookmarkEnd w:id="6"/>
      <w:tr w:rsidR="008411AD" w:rsidRPr="00877D1F" w:rsidTr="00E86BEB">
        <w:trPr>
          <w:trHeight w:hRule="exact" w:val="840"/>
        </w:trPr>
        <w:tc>
          <w:tcPr>
            <w:tcW w:w="7651" w:type="dxa"/>
          </w:tcPr>
          <w:p w:rsidR="008411AD" w:rsidRPr="00877D1F" w:rsidRDefault="008411AD" w:rsidP="009059A7"/>
        </w:tc>
      </w:tr>
      <w:tr w:rsidR="008411AD" w:rsidRPr="00877D1F" w:rsidTr="00E86BEB">
        <w:tc>
          <w:tcPr>
            <w:tcW w:w="7651" w:type="dxa"/>
          </w:tcPr>
          <w:p w:rsidR="008411AD" w:rsidRPr="00877D1F" w:rsidRDefault="008411AD" w:rsidP="009059A7">
            <w:bookmarkStart w:id="7" w:name="do_Ondertekening" w:colFirst="0" w:colLast="0"/>
          </w:p>
        </w:tc>
      </w:tr>
      <w:tr w:rsidR="0004220A" w:rsidRPr="00877D1F" w:rsidTr="00877D1F">
        <w:trPr>
          <w:trHeight w:hRule="exact" w:val="22"/>
        </w:trPr>
        <w:tc>
          <w:tcPr>
            <w:tcW w:w="7651" w:type="dxa"/>
          </w:tcPr>
          <w:p w:rsidR="0004220A" w:rsidRPr="00877D1F" w:rsidRDefault="0004220A" w:rsidP="009059A7">
            <w:bookmarkStart w:id="8" w:name="do_Bijlagen" w:colFirst="0" w:colLast="0"/>
            <w:bookmarkEnd w:id="7"/>
          </w:p>
        </w:tc>
      </w:tr>
      <w:bookmarkEnd w:id="8"/>
    </w:tbl>
    <w:p w:rsidR="00A93B44" w:rsidRPr="00877D1F" w:rsidRDefault="00A93B44" w:rsidP="00B46C91"/>
    <w:sectPr w:rsidR="00A93B44" w:rsidRPr="00877D1F" w:rsidSect="0016771B">
      <w:headerReference w:type="default" r:id="rId12"/>
      <w:footerReference w:type="default" r:id="rId13"/>
      <w:headerReference w:type="first" r:id="rId14"/>
      <w:footerReference w:type="first" r:id="rId15"/>
      <w:pgSz w:w="11906" w:h="16838" w:code="9"/>
      <w:pgMar w:top="2750" w:right="2410" w:bottom="1418" w:left="1985" w:header="709"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D1F" w:rsidRDefault="00877D1F" w:rsidP="00601B2A">
      <w:pPr>
        <w:spacing w:line="240" w:lineRule="auto"/>
      </w:pPr>
      <w:r>
        <w:separator/>
      </w:r>
    </w:p>
  </w:endnote>
  <w:endnote w:type="continuationSeparator" w:id="0">
    <w:p w:rsidR="00877D1F" w:rsidRDefault="00877D1F" w:rsidP="00601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1"/>
    </w:tblGrid>
    <w:tr w:rsidR="003241D9" w:rsidTr="006C30D3">
      <w:trPr>
        <w:trHeight w:hRule="exact" w:val="240"/>
      </w:trPr>
      <w:tc>
        <w:tcPr>
          <w:tcW w:w="7651" w:type="dxa"/>
        </w:tcPr>
        <w:p w:rsidR="003241D9" w:rsidRDefault="003241D9">
          <w:pPr>
            <w:pStyle w:val="Voettekst"/>
          </w:pPr>
          <w:bookmarkStart w:id="9" w:name="do_Pagina2" w:colFirst="0" w:colLast="0"/>
        </w:p>
      </w:tc>
    </w:tr>
    <w:bookmarkEnd w:id="9"/>
    <w:tr w:rsidR="003241D9" w:rsidTr="003241D9">
      <w:tc>
        <w:tcPr>
          <w:tcW w:w="7651" w:type="dxa"/>
        </w:tcPr>
        <w:p w:rsidR="003241D9" w:rsidRDefault="003241D9">
          <w:pPr>
            <w:pStyle w:val="Voettekst"/>
          </w:pPr>
        </w:p>
      </w:tc>
    </w:tr>
    <w:tr w:rsidR="003241D9" w:rsidTr="003241D9">
      <w:tc>
        <w:tcPr>
          <w:tcW w:w="7651" w:type="dxa"/>
        </w:tcPr>
        <w:p w:rsidR="003241D9" w:rsidRDefault="003241D9">
          <w:pPr>
            <w:pStyle w:val="Voettekst"/>
          </w:pPr>
        </w:p>
      </w:tc>
    </w:tr>
  </w:tbl>
  <w:p w:rsidR="003241D9" w:rsidRDefault="003241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63"/>
    </w:tblGrid>
    <w:tr w:rsidR="003241D9" w:rsidTr="00877D1F">
      <w:trPr>
        <w:trHeight w:hRule="exact" w:val="240"/>
      </w:trPr>
      <w:tc>
        <w:tcPr>
          <w:tcW w:w="9463" w:type="dxa"/>
        </w:tcPr>
        <w:p w:rsidR="003241D9" w:rsidRDefault="003241D9" w:rsidP="009059A7">
          <w:pPr>
            <w:pStyle w:val="doAfzender"/>
          </w:pPr>
          <w:bookmarkStart w:id="10" w:name="do_Pagina1" w:colFirst="0" w:colLast="0"/>
        </w:p>
      </w:tc>
    </w:tr>
    <w:bookmarkEnd w:id="10"/>
  </w:tbl>
  <w:p w:rsidR="00601B2A" w:rsidRDefault="00601B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D1F" w:rsidRDefault="00877D1F" w:rsidP="00601B2A">
      <w:pPr>
        <w:spacing w:line="240" w:lineRule="auto"/>
      </w:pPr>
      <w:r>
        <w:separator/>
      </w:r>
    </w:p>
  </w:footnote>
  <w:footnote w:type="continuationSeparator" w:id="0">
    <w:p w:rsidR="00877D1F" w:rsidRDefault="00877D1F" w:rsidP="00601B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C91" w:rsidRDefault="0016771B">
    <w:pPr>
      <w:pStyle w:val="Koptekst"/>
    </w:pPr>
    <w:r w:rsidRPr="002F0155">
      <w:rPr>
        <w:noProof/>
        <w:lang w:eastAsia="nl-NL"/>
      </w:rPr>
      <w:drawing>
        <wp:anchor distT="0" distB="0" distL="114300" distR="114300" simplePos="0" relativeHeight="251663360" behindDoc="0" locked="0" layoutInCell="1" allowOverlap="1" wp14:anchorId="297F9212" wp14:editId="1E1382F9">
          <wp:simplePos x="0" y="0"/>
          <wp:positionH relativeFrom="column">
            <wp:posOffset>2933700</wp:posOffset>
          </wp:positionH>
          <wp:positionV relativeFrom="paragraph">
            <wp:posOffset>-162560</wp:posOffset>
          </wp:positionV>
          <wp:extent cx="2266950" cy="628650"/>
          <wp:effectExtent l="0" t="0" r="0" b="0"/>
          <wp:wrapNone/>
          <wp:docPr id="8" name="Afbeelding 8" descr="NVJ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VJ nieuw"/>
                  <pic:cNvPicPr>
                    <a:picLocks noChangeAspect="1" noChangeArrowheads="1"/>
                  </pic:cNvPicPr>
                </pic:nvPicPr>
                <pic:blipFill>
                  <a:blip r:embed="rId1"/>
                  <a:srcRect/>
                  <a:stretch>
                    <a:fillRect/>
                  </a:stretch>
                </pic:blipFill>
                <pic:spPr bwMode="auto">
                  <a:xfrm>
                    <a:off x="0" y="0"/>
                    <a:ext cx="2266950" cy="628650"/>
                  </a:xfrm>
                  <a:prstGeom prst="rect">
                    <a:avLst/>
                  </a:prstGeom>
                  <a:noFill/>
                  <a:ln w="9525">
                    <a:noFill/>
                    <a:miter lim="800000"/>
                    <a:headEnd/>
                    <a:tailEnd/>
                  </a:ln>
                </pic:spPr>
              </pic:pic>
            </a:graphicData>
          </a:graphic>
        </wp:anchor>
      </w:drawing>
    </w:r>
    <w:r w:rsidR="00877D1F">
      <w:rPr>
        <w:noProof/>
        <w:lang w:eastAsia="nl-NL"/>
      </w:rPr>
      <mc:AlternateContent>
        <mc:Choice Requires="wps">
          <w:drawing>
            <wp:anchor distT="0" distB="0" distL="114300" distR="114300" simplePos="0" relativeHeight="251658240" behindDoc="0" locked="1" layoutInCell="1" allowOverlap="1">
              <wp:simplePos x="0" y="0"/>
              <wp:positionH relativeFrom="column">
                <wp:posOffset>-727075</wp:posOffset>
              </wp:positionH>
              <wp:positionV relativeFrom="page">
                <wp:posOffset>0</wp:posOffset>
              </wp:positionV>
              <wp:extent cx="3188970" cy="1234440"/>
              <wp:effectExtent l="0" t="0" r="0" b="3810"/>
              <wp:wrapNone/>
              <wp:docPr id="4" name="do_Logo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123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C91" w:rsidRDefault="00877D1F">
                          <w:r>
                            <w:rPr>
                              <w:noProof/>
                              <w:lang w:eastAsia="nl-NL"/>
                            </w:rPr>
                            <w:drawing>
                              <wp:inline distT="0" distB="0" distL="0" distR="0">
                                <wp:extent cx="3181350" cy="122872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1350" cy="12287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_Logo_2" o:spid="_x0000_s1026" type="#_x0000_t202" style="position:absolute;margin-left:-57.25pt;margin-top:0;width:251.1pt;height:9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" filled="f" stroked="f">
              <v:textbox inset="0,0,0,0">
                <w:txbxContent>
                  <w:p w:rsidR="00B46C91" w:rsidRDefault="00877D1F">
                    <w:r>
                      <w:rPr>
                        <w:noProof/>
                        <w:lang w:eastAsia="nl-NL"/>
                      </w:rPr>
                      <w:drawing>
                        <wp:inline distT="0" distB="0" distL="0" distR="0">
                          <wp:extent cx="3181350" cy="12287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81350" cy="1228725"/>
                                  </a:xfrm>
                                  <a:prstGeom prst="rect">
                                    <a:avLst/>
                                  </a:prstGeom>
                                  <a:noFill/>
                                  <a:ln>
                                    <a:noFill/>
                                  </a:ln>
                                </pic:spPr>
                              </pic:pic>
                            </a:graphicData>
                          </a:graphic>
                        </wp:inline>
                      </w:drawing>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C91" w:rsidRDefault="0016771B">
    <w:pPr>
      <w:pStyle w:val="Koptekst"/>
    </w:pPr>
    <w:r w:rsidRPr="002F0155">
      <w:rPr>
        <w:noProof/>
        <w:lang w:eastAsia="nl-NL"/>
      </w:rPr>
      <w:drawing>
        <wp:anchor distT="0" distB="0" distL="114300" distR="114300" simplePos="0" relativeHeight="251661312" behindDoc="0" locked="0" layoutInCell="1" allowOverlap="1" wp14:anchorId="773C9794" wp14:editId="6A8FFF4D">
          <wp:simplePos x="0" y="0"/>
          <wp:positionH relativeFrom="column">
            <wp:posOffset>2933700</wp:posOffset>
          </wp:positionH>
          <wp:positionV relativeFrom="paragraph">
            <wp:posOffset>-181610</wp:posOffset>
          </wp:positionV>
          <wp:extent cx="2266950" cy="628650"/>
          <wp:effectExtent l="0" t="0" r="0" b="0"/>
          <wp:wrapNone/>
          <wp:docPr id="9" name="Afbeelding 9" descr="NVJ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VJ nieuw"/>
                  <pic:cNvPicPr>
                    <a:picLocks noChangeAspect="1" noChangeArrowheads="1"/>
                  </pic:cNvPicPr>
                </pic:nvPicPr>
                <pic:blipFill>
                  <a:blip r:embed="rId1"/>
                  <a:srcRect/>
                  <a:stretch>
                    <a:fillRect/>
                  </a:stretch>
                </pic:blipFill>
                <pic:spPr bwMode="auto">
                  <a:xfrm>
                    <a:off x="0" y="0"/>
                    <a:ext cx="2266950" cy="628650"/>
                  </a:xfrm>
                  <a:prstGeom prst="rect">
                    <a:avLst/>
                  </a:prstGeom>
                  <a:noFill/>
                  <a:ln w="9525">
                    <a:noFill/>
                    <a:miter lim="800000"/>
                    <a:headEnd/>
                    <a:tailEnd/>
                  </a:ln>
                </pic:spPr>
              </pic:pic>
            </a:graphicData>
          </a:graphic>
        </wp:anchor>
      </w:drawing>
    </w:r>
    <w:r w:rsidR="00877D1F">
      <w:rPr>
        <w:noProof/>
        <w:lang w:eastAsia="nl-NL"/>
      </w:rPr>
      <mc:AlternateContent>
        <mc:Choice Requires="wps">
          <w:drawing>
            <wp:anchor distT="0" distB="0" distL="114300" distR="114300" simplePos="0" relativeHeight="251659264" behindDoc="0" locked="1" layoutInCell="1" allowOverlap="1">
              <wp:simplePos x="0" y="0"/>
              <wp:positionH relativeFrom="column">
                <wp:posOffset>-727075</wp:posOffset>
              </wp:positionH>
              <wp:positionV relativeFrom="page">
                <wp:posOffset>0</wp:posOffset>
              </wp:positionV>
              <wp:extent cx="3188970" cy="1234440"/>
              <wp:effectExtent l="0" t="0" r="0" b="3810"/>
              <wp:wrapNone/>
              <wp:docPr id="3" name="do_Logo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123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078" w:rsidRDefault="00877D1F" w:rsidP="00F66078">
                          <w:r>
                            <w:rPr>
                              <w:noProof/>
                              <w:lang w:eastAsia="nl-NL"/>
                            </w:rPr>
                            <w:drawing>
                              <wp:inline distT="0" distB="0" distL="0" distR="0">
                                <wp:extent cx="3181350" cy="1228725"/>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1350" cy="12287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_Logo_1" o:spid="_x0000_s1027" type="#_x0000_t202" style="position:absolute;margin-left:-57.25pt;margin-top:0;width:251.1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" filled="f" stroked="f">
              <v:textbox inset="0,0,0,0">
                <w:txbxContent>
                  <w:p w:rsidR="00F66078" w:rsidRDefault="00877D1F" w:rsidP="00F66078">
                    <w:r>
                      <w:rPr>
                        <w:noProof/>
                        <w:lang w:eastAsia="nl-NL"/>
                      </w:rPr>
                      <w:drawing>
                        <wp:inline distT="0" distB="0" distL="0" distR="0">
                          <wp:extent cx="3181350" cy="12287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81350" cy="1228725"/>
                                  </a:xfrm>
                                  <a:prstGeom prst="rect">
                                    <a:avLst/>
                                  </a:prstGeom>
                                  <a:noFill/>
                                  <a:ln>
                                    <a:noFill/>
                                  </a:ln>
                                </pic:spPr>
                              </pic:pic>
                            </a:graphicData>
                          </a:graphic>
                        </wp:inline>
                      </w:drawing>
                    </w:r>
                  </w:p>
                </w:txbxContent>
              </v:textbox>
              <w10:wrap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85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1F"/>
    <w:rsid w:val="00005808"/>
    <w:rsid w:val="00007F3B"/>
    <w:rsid w:val="00030748"/>
    <w:rsid w:val="0004220A"/>
    <w:rsid w:val="000820D5"/>
    <w:rsid w:val="00092FE9"/>
    <w:rsid w:val="000A6A2E"/>
    <w:rsid w:val="000C16E6"/>
    <w:rsid w:val="00104F18"/>
    <w:rsid w:val="00105E40"/>
    <w:rsid w:val="001201F4"/>
    <w:rsid w:val="00145238"/>
    <w:rsid w:val="0014717B"/>
    <w:rsid w:val="0016771B"/>
    <w:rsid w:val="00173DC1"/>
    <w:rsid w:val="00174926"/>
    <w:rsid w:val="00184326"/>
    <w:rsid w:val="001A3CE1"/>
    <w:rsid w:val="001B2D9B"/>
    <w:rsid w:val="001E0B6D"/>
    <w:rsid w:val="002557E5"/>
    <w:rsid w:val="00270383"/>
    <w:rsid w:val="00283271"/>
    <w:rsid w:val="0028541D"/>
    <w:rsid w:val="002A6792"/>
    <w:rsid w:val="002C3ADE"/>
    <w:rsid w:val="002E2610"/>
    <w:rsid w:val="003241D9"/>
    <w:rsid w:val="00327F36"/>
    <w:rsid w:val="004808BB"/>
    <w:rsid w:val="00493892"/>
    <w:rsid w:val="004C2EB8"/>
    <w:rsid w:val="004C7425"/>
    <w:rsid w:val="00532085"/>
    <w:rsid w:val="00535F67"/>
    <w:rsid w:val="00541F8B"/>
    <w:rsid w:val="00574BF9"/>
    <w:rsid w:val="00576A53"/>
    <w:rsid w:val="00592585"/>
    <w:rsid w:val="005A0A45"/>
    <w:rsid w:val="005A3D94"/>
    <w:rsid w:val="005D3402"/>
    <w:rsid w:val="005D61F4"/>
    <w:rsid w:val="005E45AB"/>
    <w:rsid w:val="005F3D1F"/>
    <w:rsid w:val="00601B2A"/>
    <w:rsid w:val="00603BEF"/>
    <w:rsid w:val="00674D86"/>
    <w:rsid w:val="00696257"/>
    <w:rsid w:val="00696E1F"/>
    <w:rsid w:val="006C30D3"/>
    <w:rsid w:val="0071396B"/>
    <w:rsid w:val="00724C59"/>
    <w:rsid w:val="007262AC"/>
    <w:rsid w:val="007526BF"/>
    <w:rsid w:val="00764D40"/>
    <w:rsid w:val="00770255"/>
    <w:rsid w:val="0078609A"/>
    <w:rsid w:val="007C728D"/>
    <w:rsid w:val="007F084F"/>
    <w:rsid w:val="008411AD"/>
    <w:rsid w:val="00853ABF"/>
    <w:rsid w:val="00877522"/>
    <w:rsid w:val="008775A0"/>
    <w:rsid w:val="00877D1F"/>
    <w:rsid w:val="008C6297"/>
    <w:rsid w:val="00902EEC"/>
    <w:rsid w:val="009059A7"/>
    <w:rsid w:val="009169F7"/>
    <w:rsid w:val="00925386"/>
    <w:rsid w:val="00927E43"/>
    <w:rsid w:val="009E32A8"/>
    <w:rsid w:val="00A2484E"/>
    <w:rsid w:val="00A40CAF"/>
    <w:rsid w:val="00A93B44"/>
    <w:rsid w:val="00B02EBC"/>
    <w:rsid w:val="00B02F44"/>
    <w:rsid w:val="00B46C91"/>
    <w:rsid w:val="00B55206"/>
    <w:rsid w:val="00B74A60"/>
    <w:rsid w:val="00B8684D"/>
    <w:rsid w:val="00BB5247"/>
    <w:rsid w:val="00BD2F64"/>
    <w:rsid w:val="00BD7E38"/>
    <w:rsid w:val="00BF7689"/>
    <w:rsid w:val="00C526F4"/>
    <w:rsid w:val="00C873C7"/>
    <w:rsid w:val="00CB0063"/>
    <w:rsid w:val="00CB5626"/>
    <w:rsid w:val="00CC77E3"/>
    <w:rsid w:val="00CD49FF"/>
    <w:rsid w:val="00D172C1"/>
    <w:rsid w:val="00D219AA"/>
    <w:rsid w:val="00D335D0"/>
    <w:rsid w:val="00D6688A"/>
    <w:rsid w:val="00D84400"/>
    <w:rsid w:val="00DA26F5"/>
    <w:rsid w:val="00DA7B65"/>
    <w:rsid w:val="00DB473E"/>
    <w:rsid w:val="00DD7D77"/>
    <w:rsid w:val="00DE619C"/>
    <w:rsid w:val="00E34C70"/>
    <w:rsid w:val="00E51258"/>
    <w:rsid w:val="00E57CB8"/>
    <w:rsid w:val="00E65FCA"/>
    <w:rsid w:val="00E86BEB"/>
    <w:rsid w:val="00E90907"/>
    <w:rsid w:val="00EA2829"/>
    <w:rsid w:val="00EA7FE0"/>
    <w:rsid w:val="00EB3C2D"/>
    <w:rsid w:val="00EC04FB"/>
    <w:rsid w:val="00EE1900"/>
    <w:rsid w:val="00EF1957"/>
    <w:rsid w:val="00F00508"/>
    <w:rsid w:val="00F64798"/>
    <w:rsid w:val="00F66078"/>
    <w:rsid w:val="00F824E0"/>
    <w:rsid w:val="00FA1740"/>
    <w:rsid w:val="00FB595C"/>
    <w:rsid w:val="00FD36B2"/>
    <w:rsid w:val="00FD7DBE"/>
    <w:rsid w:val="00FF29F0"/>
    <w:rsid w:val="00FF55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84496"/>
  <w15:docId w15:val="{444F2086-4AD8-4787-B637-C4A66604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19"/>
        <w:szCs w:val="19"/>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3241D9"/>
    <w:pPr>
      <w:tabs>
        <w:tab w:val="left" w:pos="284"/>
      </w:tabs>
      <w:spacing w:after="0" w:line="288"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01B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1B2A"/>
    <w:rPr>
      <w:sz w:val="19"/>
      <w:lang w:val="nl-NL"/>
    </w:rPr>
  </w:style>
  <w:style w:type="paragraph" w:styleId="Voettekst">
    <w:name w:val="footer"/>
    <w:basedOn w:val="Standaard"/>
    <w:link w:val="VoettekstChar"/>
    <w:uiPriority w:val="99"/>
    <w:unhideWhenUsed/>
    <w:rsid w:val="00601B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1B2A"/>
    <w:rPr>
      <w:sz w:val="19"/>
      <w:lang w:val="nl-NL"/>
    </w:rPr>
  </w:style>
  <w:style w:type="table" w:styleId="Tabelraster">
    <w:name w:val="Table Grid"/>
    <w:basedOn w:val="Standaardtabel"/>
    <w:uiPriority w:val="59"/>
    <w:rsid w:val="0060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Afzender">
    <w:name w:val="do_Afzender"/>
    <w:basedOn w:val="Standaard"/>
    <w:rsid w:val="003241D9"/>
    <w:pPr>
      <w:spacing w:line="240" w:lineRule="exact"/>
    </w:pPr>
    <w:rPr>
      <w:sz w:val="17"/>
    </w:rPr>
  </w:style>
  <w:style w:type="paragraph" w:customStyle="1" w:styleId="doKopjes">
    <w:name w:val="do_Kopjes"/>
    <w:basedOn w:val="Standaard"/>
    <w:rsid w:val="003241D9"/>
    <w:pPr>
      <w:spacing w:line="240" w:lineRule="exact"/>
    </w:pPr>
    <w:rPr>
      <w:color w:val="D25006"/>
      <w:sz w:val="17"/>
    </w:rPr>
  </w:style>
  <w:style w:type="paragraph" w:styleId="Geenafstand">
    <w:name w:val="No Spacing"/>
    <w:uiPriority w:val="1"/>
    <w:qFormat/>
    <w:rsid w:val="00877D1F"/>
    <w:pPr>
      <w:spacing w:after="0" w:line="240" w:lineRule="auto"/>
    </w:pPr>
    <w:rPr>
      <w:rFonts w:asciiTheme="minorHAnsi" w:hAnsiTheme="minorHAnsi"/>
      <w:sz w:val="22"/>
      <w:szCs w:val="22"/>
    </w:rPr>
  </w:style>
  <w:style w:type="character" w:styleId="Hyperlink">
    <w:name w:val="Hyperlink"/>
    <w:basedOn w:val="Standaardalinea-lettertype"/>
    <w:uiPriority w:val="99"/>
    <w:unhideWhenUsed/>
    <w:rsid w:val="00877D1F"/>
    <w:rPr>
      <w:color w:val="0000FF"/>
      <w:u w:val="single"/>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pnieuwsmedia.nl/wp-content/uploads/2018/03/20171220-Bijlage-Implementatie-journalistieke-exceptie-in-Uitvoeringswet-AVG-analyse-20-december-2017-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dpnieuwsmedia.nl/wp-content/uploads/2018/03/20171220-Bijlage-Implementatie-journalistieke-exceptie-in-Uitvoeringswet-AVG-analyse-20-december-2017-1.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ndpnieuwsmedia.nl/wp-content/uploads/2018/03/20171220-Brief-Uitvoeringswet-AVG-journalistieke-exceptie-1.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N:\relatie\wrdstart\Templates\do_Letter.dotx" TargetMode="External"/></Relationships>
</file>

<file path=word/theme/theme1.xml><?xml version="1.0" encoding="utf-8"?>
<a:theme xmlns:a="http://schemas.openxmlformats.org/drawingml/2006/main" name="Office Theme">
  <a:themeElements>
    <a:clrScheme name="NDP">
      <a:dk1>
        <a:sysClr val="windowText" lastClr="000000"/>
      </a:dk1>
      <a:lt1>
        <a:sysClr val="window" lastClr="FFFFFF"/>
      </a:lt1>
      <a:dk2>
        <a:srgbClr val="1F497D"/>
      </a:dk2>
      <a:lt2>
        <a:srgbClr val="EEECE1"/>
      </a:lt2>
      <a:accent1>
        <a:srgbClr val="D25006"/>
      </a:accent1>
      <a:accent2>
        <a:srgbClr val="A5BCE4"/>
      </a:accent2>
      <a:accent3>
        <a:srgbClr val="6E6362"/>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2ED667E-71D4-4168-8F5D-A2D510E0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do_Letter</Template>
  <TotalTime>7</TotalTime>
  <Pages>2</Pages>
  <Words>679</Words>
  <Characters>3735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Wolswinkel</dc:creator>
  <cp:lastModifiedBy>Herman Wolswinkel</cp:lastModifiedBy>
  <cp:revision>2</cp:revision>
  <dcterms:created xsi:type="dcterms:W3CDTF">2018-03-07T19:41:00Z</dcterms:created>
  <dcterms:modified xsi:type="dcterms:W3CDTF">2018-03-07T20:16:00Z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do_Letter</vt:lpwstr>
  </property>
  <property fmtid="{D5CDD505-2E9C-101B-9397-08002B2CF9AE}" pid="3" name="txtDate">
    <vt:lpwstr>07-03-2018</vt:lpwstr>
  </property>
  <property fmtid="{D5CDD505-2E9C-101B-9397-08002B2CF9AE}" pid="4" name="cboSalutation">
    <vt:lpwstr>Geachte heer</vt:lpwstr>
  </property>
  <property fmtid="{D5CDD505-2E9C-101B-9397-08002B2CF9AE}" pid="5" name="cboSigning">
    <vt:lpwstr>Hoogachtend,</vt:lpwstr>
  </property>
  <property fmtid="{D5CDD505-2E9C-101B-9397-08002B2CF9AE}" pid="6" name="cboSigner">
    <vt:lpwstr>NDP Nieuwsmedia</vt:lpwstr>
  </property>
  <property fmtid="{D5CDD505-2E9C-101B-9397-08002B2CF9AE}" pid="7" name="cboLanguage">
    <vt:lpwstr>Nederlands</vt:lpwstr>
  </property>
  <property fmtid="{D5CDD505-2E9C-101B-9397-08002B2CF9AE}" pid="8" name="chkPageNumbering">
    <vt:lpwstr>0</vt:lpwstr>
  </property>
  <property fmtid="{D5CDD505-2E9C-101B-9397-08002B2CF9AE}" pid="9" name="do_LogoVisibility">
    <vt:lpwstr>1</vt:lpwstr>
  </property>
  <property fmtid="{D5CDD505-2E9C-101B-9397-08002B2CF9AE}" pid="10" name="doDateHeading">
    <vt:lpwstr>Amsterdam, </vt:lpwstr>
  </property>
  <property fmtid="{D5CDD505-2E9C-101B-9397-08002B2CF9AE}" pid="11" name="languageID">
    <vt:lpwstr>NL</vt:lpwstr>
  </property>
</Properties>
</file>